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7" w:rsidRPr="002B6207" w:rsidRDefault="002B6207" w:rsidP="002B62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4"/>
        </w:rPr>
      </w:pPr>
      <w:r w:rsidRPr="002B6207">
        <w:rPr>
          <w:rFonts w:ascii="Times New Roman" w:eastAsia="Times New Roman" w:hAnsi="Times New Roman" w:cs="Times New Roman"/>
          <w:b/>
          <w:color w:val="000000"/>
          <w:sz w:val="48"/>
          <w:szCs w:val="24"/>
        </w:rPr>
        <w:t>Осторожно холера</w:t>
      </w:r>
    </w:p>
    <w:p w:rsidR="00C60858" w:rsidRPr="00C60858" w:rsidRDefault="00C60858" w:rsidP="00C608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Министерство здравоохранения Республики Беларусь (дале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е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-М</w:t>
      </w:r>
      <w:proofErr w:type="gramEnd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инздрав) информирует об ухудшении эпидемиологической ситуации по</w:t>
      </w:r>
    </w:p>
    <w:p w:rsidR="00C60858" w:rsidRPr="00C60858" w:rsidRDefault="00C60858" w:rsidP="00C60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холере в Сирии.</w:t>
      </w:r>
    </w:p>
    <w:p w:rsidR="00C60858" w:rsidRPr="00C60858" w:rsidRDefault="00C60858" w:rsidP="002B6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По данным Всемирной организации здравоохранения первые случаи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заболевания были зарегистрированы в конце августа текущего года. По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состоянию на 10.11.2022 случаи холеры зарегистрированы в 14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провинциях страны с максимальным числом в Алеппо, </w:t>
      </w:r>
      <w:proofErr w:type="spellStart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Латакия</w:t>
      </w:r>
      <w:proofErr w:type="spellEnd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Ракка</w:t>
      </w:r>
      <w:proofErr w:type="spellEnd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Хасаке</w:t>
      </w:r>
      <w:proofErr w:type="spellEnd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, Дамаске. Всего зарегистрировано более 30 тысяч предполагаемых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случаев заболевания, из которых </w:t>
      </w:r>
      <w:proofErr w:type="gramStart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подтверждено</w:t>
      </w:r>
      <w:proofErr w:type="gramEnd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меньшей мере 400,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около 90 человек умерли. Фактором передачи инфекции стала вода из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реки </w:t>
      </w:r>
      <w:proofErr w:type="spellStart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Ефрат</w:t>
      </w:r>
      <w:proofErr w:type="spellEnd"/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, используемая населением для питья и хозяйственных нужд, а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 вода из централизованных источников водоснабжения,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контаминированная возбудителем холеры вследствие разрушения систем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водоснабжения, водоочистных сооружений, насосных станций.</w:t>
      </w:r>
    </w:p>
    <w:p w:rsidR="00C60858" w:rsidRDefault="00C60858" w:rsidP="002B6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Высокая активность миграционных процессов, в том числе с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гуманитарной и туристической целями, повышает риск завоза и</w:t>
      </w:r>
      <w:r w:rsidR="002B620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60858">
        <w:rPr>
          <w:rFonts w:ascii="Times New Roman" w:eastAsia="Times New Roman" w:hAnsi="Times New Roman" w:cs="Times New Roman"/>
          <w:color w:val="000000"/>
          <w:sz w:val="28"/>
          <w:szCs w:val="24"/>
        </w:rPr>
        <w:t>распространения холеры на территории Республики Беларусь.</w:t>
      </w:r>
    </w:p>
    <w:p w:rsidR="00C60858" w:rsidRPr="00C60858" w:rsidRDefault="002B6207" w:rsidP="002B6207">
      <w:pPr>
        <w:pStyle w:val="a3"/>
        <w:spacing w:before="0" w:beforeAutospacing="0" w:after="0" w:afterAutospacing="0" w:line="360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FF21FF" wp14:editId="38C80C5A">
            <wp:simplePos x="0" y="0"/>
            <wp:positionH relativeFrom="column">
              <wp:posOffset>10160</wp:posOffset>
            </wp:positionH>
            <wp:positionV relativeFrom="paragraph">
              <wp:posOffset>62230</wp:posOffset>
            </wp:positionV>
            <wp:extent cx="2458085" cy="1640205"/>
            <wp:effectExtent l="0" t="0" r="0" b="0"/>
            <wp:wrapTight wrapText="bothSides">
              <wp:wrapPolygon edited="0">
                <wp:start x="0" y="0"/>
                <wp:lineTo x="0" y="21324"/>
                <wp:lineTo x="21427" y="21324"/>
                <wp:lineTo x="21427" y="0"/>
                <wp:lineTo x="0" y="0"/>
              </wp:wrapPolygon>
            </wp:wrapTight>
            <wp:docPr id="2" name="Рисунок 2" descr="Холера - БСМП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лера - БСМП Грод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58" w:rsidRPr="002B6207">
        <w:rPr>
          <w:b/>
          <w:color w:val="000000" w:themeColor="text1"/>
          <w:sz w:val="28"/>
          <w:szCs w:val="28"/>
        </w:rPr>
        <w:t>Холера</w:t>
      </w:r>
      <w:r w:rsidR="00C60858" w:rsidRPr="00C60858">
        <w:rPr>
          <w:color w:val="000000" w:themeColor="text1"/>
          <w:sz w:val="28"/>
          <w:szCs w:val="28"/>
        </w:rPr>
        <w:t xml:space="preserve"> – острая </w:t>
      </w:r>
      <w:proofErr w:type="spellStart"/>
      <w:r w:rsidR="00C60858" w:rsidRPr="00C60858">
        <w:rPr>
          <w:color w:val="000000" w:themeColor="text1"/>
          <w:sz w:val="28"/>
          <w:szCs w:val="28"/>
        </w:rPr>
        <w:t>диарейная</w:t>
      </w:r>
      <w:proofErr w:type="spellEnd"/>
      <w:r w:rsidR="00C60858" w:rsidRPr="00C60858">
        <w:rPr>
          <w:color w:val="000000" w:themeColor="text1"/>
          <w:sz w:val="28"/>
          <w:szCs w:val="28"/>
        </w:rPr>
        <w:t xml:space="preserve"> инфекция, вызываемая бактерией </w:t>
      </w:r>
      <w:proofErr w:type="spellStart"/>
      <w:r w:rsidR="00C60858" w:rsidRPr="00C60858">
        <w:rPr>
          <w:rStyle w:val="a7"/>
          <w:color w:val="000000" w:themeColor="text1"/>
          <w:sz w:val="28"/>
          <w:szCs w:val="28"/>
        </w:rPr>
        <w:t>Vibrio</w:t>
      </w:r>
      <w:proofErr w:type="spellEnd"/>
      <w:r w:rsidR="00C60858" w:rsidRPr="00C60858">
        <w:rPr>
          <w:rStyle w:val="a7"/>
          <w:color w:val="000000" w:themeColor="text1"/>
          <w:sz w:val="28"/>
          <w:szCs w:val="28"/>
        </w:rPr>
        <w:t> </w:t>
      </w:r>
      <w:proofErr w:type="spellStart"/>
      <w:r w:rsidR="00C60858" w:rsidRPr="00C60858">
        <w:rPr>
          <w:rStyle w:val="a7"/>
          <w:color w:val="000000" w:themeColor="text1"/>
          <w:sz w:val="28"/>
          <w:szCs w:val="28"/>
        </w:rPr>
        <w:t>cholerae</w:t>
      </w:r>
      <w:proofErr w:type="spellEnd"/>
      <w:r w:rsidR="00C60858" w:rsidRPr="00C60858">
        <w:rPr>
          <w:color w:val="000000" w:themeColor="text1"/>
          <w:sz w:val="28"/>
          <w:szCs w:val="28"/>
        </w:rPr>
        <w:t> при попадании в организм зараженных пищевых продуктов или воды. Холера остается глобальной угрозой для здоровья населения и одной из примет неравенства и отсутствия социального развития.</w:t>
      </w:r>
    </w:p>
    <w:p w:rsidR="00C60858" w:rsidRPr="00C60858" w:rsidRDefault="00C60858" w:rsidP="00C60858">
      <w:pPr>
        <w:pStyle w:val="2"/>
        <w:spacing w:before="0" w:beforeAutospacing="0" w:after="0" w:afterAutospacing="0" w:line="420" w:lineRule="atLeast"/>
        <w:jc w:val="both"/>
        <w:rPr>
          <w:color w:val="000000" w:themeColor="text1"/>
          <w:sz w:val="28"/>
          <w:szCs w:val="28"/>
        </w:rPr>
      </w:pPr>
      <w:r w:rsidRPr="00C60858">
        <w:rPr>
          <w:color w:val="000000" w:themeColor="text1"/>
          <w:sz w:val="28"/>
          <w:szCs w:val="28"/>
        </w:rPr>
        <w:t>Симптомы</w:t>
      </w:r>
    </w:p>
    <w:p w:rsidR="00C60858" w:rsidRPr="00C60858" w:rsidRDefault="00C60858" w:rsidP="00C60858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C60858">
        <w:rPr>
          <w:color w:val="000000" w:themeColor="text1"/>
          <w:sz w:val="28"/>
          <w:szCs w:val="28"/>
        </w:rPr>
        <w:t>Холера – чрезвычайно заразная болезнь, которая может вызывать тяжелую острую водянистую диарею. Между попаданием в организм зараженных пищевых продуктов или воды и появлением симптомов у заболевшего проходит от 12 часов до 5 дней</w:t>
      </w:r>
      <w:proofErr w:type="gramStart"/>
      <w:r w:rsidRPr="00C60858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C60858">
        <w:rPr>
          <w:color w:val="000000" w:themeColor="text1"/>
          <w:sz w:val="28"/>
          <w:szCs w:val="28"/>
        </w:rPr>
        <w:t>. Холера поражает как детей, так и взрослых и при отсутствии лечения может за несколько часов приводить к смерти.</w:t>
      </w:r>
    </w:p>
    <w:p w:rsidR="00C60858" w:rsidRPr="00C60858" w:rsidRDefault="00C60858" w:rsidP="00C60858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C60858">
        <w:rPr>
          <w:color w:val="000000" w:themeColor="text1"/>
          <w:sz w:val="28"/>
          <w:szCs w:val="28"/>
        </w:rPr>
        <w:t>У большинства людей, инфицированных бактерией </w:t>
      </w:r>
      <w:r w:rsidRPr="00C60858">
        <w:rPr>
          <w:rStyle w:val="a7"/>
          <w:color w:val="000000" w:themeColor="text1"/>
          <w:sz w:val="28"/>
          <w:szCs w:val="28"/>
        </w:rPr>
        <w:t>V. </w:t>
      </w:r>
      <w:proofErr w:type="spellStart"/>
      <w:r w:rsidRPr="00C60858">
        <w:rPr>
          <w:rStyle w:val="a7"/>
          <w:color w:val="000000" w:themeColor="text1"/>
          <w:sz w:val="28"/>
          <w:szCs w:val="28"/>
        </w:rPr>
        <w:t>cholerae</w:t>
      </w:r>
      <w:proofErr w:type="spellEnd"/>
      <w:r w:rsidRPr="00C60858">
        <w:rPr>
          <w:color w:val="000000" w:themeColor="text1"/>
          <w:sz w:val="28"/>
          <w:szCs w:val="28"/>
        </w:rPr>
        <w:t>, не развивается никаких симптомов, хотя в течение 1–10 дней после инфицирования в их фекалиях присутствуют бактерии, которые, поступая обратно в окружающую среду, потенциально могут инфицировать других людей.</w:t>
      </w:r>
    </w:p>
    <w:p w:rsidR="00C60858" w:rsidRPr="00C60858" w:rsidRDefault="00C60858" w:rsidP="002B6207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C60858">
        <w:rPr>
          <w:color w:val="000000" w:themeColor="text1"/>
          <w:sz w:val="28"/>
          <w:szCs w:val="28"/>
        </w:rPr>
        <w:t>Если возникают симптомы, то в большинстве случаев они бывают легкими или умеренными, в то время как у меньшинства заболевших развивается острая водянистая диарея с сильным обезвоживанием. При отсутствии лечения это может привести к летальному исходу.</w:t>
      </w:r>
    </w:p>
    <w:p w:rsidR="00C60858" w:rsidRPr="00C60858" w:rsidRDefault="00C60858" w:rsidP="00C60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Существуют следующие пути передачи холеры:</w:t>
      </w:r>
    </w:p>
    <w:p w:rsidR="00C60858" w:rsidRPr="00C60858" w:rsidRDefault="00C60858" w:rsidP="00C60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Водный</w:t>
      </w:r>
      <w:proofErr w:type="gramEnd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во время купания в открытых заражённых водоёмах, если пить обсеменённую бактериями холеры воду или мыть продукты или посуду в такой воде. Этот путь считается ведущим.</w:t>
      </w:r>
    </w:p>
    <w:p w:rsidR="00C60858" w:rsidRPr="00C60858" w:rsidRDefault="00C60858" w:rsidP="00C60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Контактно-бытовой – через предметы обихода, дверные ручки, посуду, белье, загрязненные рвотными массами или испражнениями больного, при осуществлении ухода за больными холерой.</w:t>
      </w:r>
    </w:p>
    <w:p w:rsidR="00C60858" w:rsidRPr="00C60858" w:rsidRDefault="00C60858" w:rsidP="00C608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Пищевой</w:t>
      </w:r>
      <w:proofErr w:type="gramEnd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при употребляет в пищу заражённых холерным вибрионом продуктов. Наиболее опасны в </w:t>
      </w:r>
      <w:proofErr w:type="spellStart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эпидотношении</w:t>
      </w:r>
      <w:proofErr w:type="spellEnd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рыба, а также морепродукты (мидии, креветки), раки, выросшие в зараженной воде.    </w:t>
      </w:r>
    </w:p>
    <w:p w:rsidR="00C60858" w:rsidRPr="00C60858" w:rsidRDefault="00C60858" w:rsidP="00C60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Заражение может произойти при употреблении фруктов и овоще, вымытых зараженной водой. На продукты бактерии могут также попадать от носителей или посредством мух. Заболевание холерой можно предотвратить! Перед выездом за рубеж узнайте у своего туроператора </w:t>
      </w:r>
      <w:proofErr w:type="spellStart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эпидситуацию</w:t>
      </w:r>
      <w:proofErr w:type="spellEnd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инфекционным заболеваниям в посещаемой стране.</w:t>
      </w:r>
    </w:p>
    <w:p w:rsidR="00C60858" w:rsidRPr="00C60858" w:rsidRDefault="00C60858" w:rsidP="00C60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Также помогут простые меры профилактики: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соблюдайте простое правило: если продукт нельзя вскипятить, сварить, пожарить или очистить (от кожицы, корки и т.п.), то его нельзя употреблять в пищу;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употребляйте для питья и бытовых целей воду из случайных источников. Пейте только кипяченую или бутилированную питьевую воду, овощи и фрукты также мойте только водой проверенного качества. Такие напитки, как горячий чай или кофе, вино, пиво, газированная вода или безалкогольные напитки, а также фруктовые соки в бутылках или пакетах, обычно безопасны для питья;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употребляйте лед, если вы не уверены, что он сделан из безопасной воды;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употребляйте в пищу горячие продукты, прошедшие тщательную тепловую обработку. Приготовленные пищевые продукты, оставленные в течение нескольких часов при комнатной температуре, без дополнительного разогревания могут стать источником инфекции.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употребляйте в пищу продукты в сыром виде. Исключение составляют фрукты и овощи, которые вы должны собственноручно очистить (от кожицы, корки и т.п.).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ткажитесь от употребления </w:t>
      </w:r>
      <w:proofErr w:type="spellStart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непастеризованного</w:t>
      </w:r>
      <w:proofErr w:type="spellEnd"/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молока, а также других молочных продуктов, если сомневаетесь в их качестве и безопасности;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убедитесь в том, что пищевые продукты, купленные у уличных торговцев, проходят тщательную тепловую обработку в вашем присутствии;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купайтесь только в водоемах, разрешенных для организованного отдыха;</w:t>
      </w:r>
    </w:p>
    <w:p w:rsidR="00C60858" w:rsidRPr="00C60858" w:rsidRDefault="00C60858" w:rsidP="00C608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регулярно и тщательно мойте руки.</w:t>
      </w:r>
    </w:p>
    <w:p w:rsidR="00A25427" w:rsidRPr="00C60858" w:rsidRDefault="00A25427" w:rsidP="00A254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300B" w:rsidRPr="005E1F96" w:rsidRDefault="00BC300B" w:rsidP="00BC3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F96">
        <w:rPr>
          <w:rFonts w:ascii="Times New Roman" w:eastAsia="Times New Roman" w:hAnsi="Times New Roman" w:cs="Times New Roman"/>
          <w:sz w:val="20"/>
          <w:szCs w:val="20"/>
        </w:rPr>
        <w:t>Материал подготовила помощник врач</w:t>
      </w:r>
      <w:proofErr w:type="gramStart"/>
      <w:r w:rsidRPr="005E1F96">
        <w:rPr>
          <w:rFonts w:ascii="Times New Roman" w:eastAsia="Times New Roman" w:hAnsi="Times New Roman" w:cs="Times New Roman"/>
          <w:sz w:val="20"/>
          <w:szCs w:val="20"/>
        </w:rPr>
        <w:t>а-</w:t>
      </w:r>
      <w:proofErr w:type="gramEnd"/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 гигиениста Кореличского районного ЦГЭ Воронцова Екатерина Михайловна </w:t>
      </w:r>
    </w:p>
    <w:p w:rsidR="00BC300B" w:rsidRPr="005E1F96" w:rsidRDefault="00BC300B" w:rsidP="00BC3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1F96">
        <w:rPr>
          <w:rFonts w:ascii="Times New Roman" w:eastAsia="Times New Roman" w:hAnsi="Times New Roman" w:cs="Times New Roman"/>
          <w:sz w:val="20"/>
          <w:szCs w:val="20"/>
        </w:rPr>
        <w:t xml:space="preserve">Обновлено </w:t>
      </w:r>
      <w:r w:rsidR="005E1F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5427" w:rsidRPr="005E1F96">
        <w:rPr>
          <w:rFonts w:ascii="Times New Roman" w:eastAsia="Times New Roman" w:hAnsi="Times New Roman" w:cs="Times New Roman"/>
          <w:sz w:val="20"/>
          <w:szCs w:val="20"/>
        </w:rPr>
        <w:t>2</w:t>
      </w:r>
      <w:r w:rsidR="00C60858">
        <w:rPr>
          <w:rFonts w:ascii="Times New Roman" w:eastAsia="Times New Roman" w:hAnsi="Times New Roman" w:cs="Times New Roman"/>
          <w:sz w:val="20"/>
          <w:szCs w:val="20"/>
        </w:rPr>
        <w:t>9</w:t>
      </w:r>
      <w:r w:rsidR="00A25427" w:rsidRPr="005E1F96">
        <w:rPr>
          <w:rFonts w:ascii="Times New Roman" w:eastAsia="Times New Roman" w:hAnsi="Times New Roman" w:cs="Times New Roman"/>
          <w:sz w:val="20"/>
          <w:szCs w:val="20"/>
        </w:rPr>
        <w:t>.11.2022</w:t>
      </w:r>
    </w:p>
    <w:p w:rsidR="007D1F16" w:rsidRDefault="007D1F16">
      <w:bookmarkStart w:id="0" w:name="_GoBack"/>
      <w:bookmarkEnd w:id="0"/>
    </w:p>
    <w:sectPr w:rsidR="007D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17A"/>
    <w:multiLevelType w:val="multilevel"/>
    <w:tmpl w:val="B77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14745"/>
    <w:multiLevelType w:val="multilevel"/>
    <w:tmpl w:val="A378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19A7"/>
    <w:multiLevelType w:val="multilevel"/>
    <w:tmpl w:val="B8E6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D29C3"/>
    <w:multiLevelType w:val="multilevel"/>
    <w:tmpl w:val="D5B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12E40"/>
    <w:multiLevelType w:val="multilevel"/>
    <w:tmpl w:val="2E72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269F8"/>
    <w:multiLevelType w:val="multilevel"/>
    <w:tmpl w:val="540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00B"/>
    <w:rsid w:val="002B6207"/>
    <w:rsid w:val="005E1F96"/>
    <w:rsid w:val="007D1F16"/>
    <w:rsid w:val="00A25427"/>
    <w:rsid w:val="00BC300B"/>
    <w:rsid w:val="00C6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5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3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0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BC300B"/>
  </w:style>
  <w:style w:type="paragraph" w:styleId="a3">
    <w:name w:val="Normal (Web)"/>
    <w:basedOn w:val="a"/>
    <w:uiPriority w:val="99"/>
    <w:unhideWhenUsed/>
    <w:rsid w:val="00BC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30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2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F9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0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2022-06-24T05:41:00Z</dcterms:created>
  <dcterms:modified xsi:type="dcterms:W3CDTF">2022-11-29T06:17:00Z</dcterms:modified>
</cp:coreProperties>
</file>